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141"/>
        <w:jc w:val="left"/>
        <w:rPr>
          <w:rFonts w:hint="eastAsia" w:ascii="Times New Roman" w:hAnsi="Times New Roman" w:eastAsia="黑体" w:cs="黑体"/>
          <w:sz w:val="28"/>
          <w:szCs w:val="28"/>
          <w:lang w:val="en-US" w:eastAsia="zh-CN"/>
        </w:rPr>
      </w:pPr>
      <w:r>
        <w:rPr>
          <w:rFonts w:hint="eastAsia" w:ascii="Times New Roman" w:hAnsi="Times New Roman" w:eastAsia="黑体" w:cs="黑体"/>
          <w:sz w:val="28"/>
          <w:szCs w:val="28"/>
          <w:lang w:val="en-US" w:eastAsia="zh-CN"/>
        </w:rPr>
        <w:t>附件：</w:t>
      </w:r>
    </w:p>
    <w:p>
      <w:pPr>
        <w:ind w:left="141"/>
        <w:jc w:val="center"/>
        <w:rPr>
          <w:rFonts w:hint="eastAsia" w:ascii="Times New Roman" w:hAnsi="Times New Roman" w:eastAsia="方正小标宋简体" w:cs="方正小标宋简体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简体" w:cs="方正小标宋简体"/>
          <w:sz w:val="44"/>
          <w:szCs w:val="44"/>
          <w:lang w:eastAsia="zh-CN"/>
        </w:rPr>
        <w:t>认筹金缴交转定流程</w:t>
      </w:r>
    </w:p>
    <w:p>
      <w:pPr>
        <w:ind w:left="141"/>
        <w:jc w:val="center"/>
        <w:rPr>
          <w:rFonts w:hint="default" w:ascii="Times New Roman" w:hAnsi="Times New Roman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leader="middleDot" w:pos="7350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142"/>
        <w:jc w:val="both"/>
        <w:textAlignment w:val="auto"/>
        <w:rPr>
          <w:rFonts w:hint="default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  <w:t>一、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eastAsia="zh-CN"/>
        </w:rPr>
        <w:t>交通银行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</w:rPr>
        <w:t>认筹金缴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  <w:t>交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</w:rPr>
        <w:t>转定流程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  <w:tab/>
        <w:t>1</w:t>
      </w:r>
    </w:p>
    <w:p>
      <w:pPr>
        <w:keepNext w:val="0"/>
        <w:keepLines w:val="0"/>
        <w:pageBreakBefore w:val="0"/>
        <w:widowControl w:val="0"/>
        <w:tabs>
          <w:tab w:val="left" w:leader="middleDot" w:pos="7350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142"/>
        <w:jc w:val="both"/>
        <w:textAlignment w:val="auto"/>
        <w:rPr>
          <w:rFonts w:hint="default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eastAsia="zh-CN"/>
        </w:rPr>
        <w:t>二、中国农业银行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</w:rPr>
        <w:t>认筹金缴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  <w:t>交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</w:rPr>
        <w:t>转定流程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  <w:tab/>
        <w:t>3</w:t>
      </w:r>
    </w:p>
    <w:p>
      <w:pPr>
        <w:keepNext w:val="0"/>
        <w:keepLines w:val="0"/>
        <w:pageBreakBefore w:val="0"/>
        <w:widowControl w:val="0"/>
        <w:tabs>
          <w:tab w:val="left" w:leader="middleDot" w:pos="7350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142"/>
        <w:jc w:val="both"/>
        <w:textAlignment w:val="auto"/>
        <w:rPr>
          <w:rFonts w:hint="default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eastAsia="zh-CN"/>
        </w:rPr>
        <w:t>三、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  <w:t>中国银行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</w:rPr>
        <w:t>认筹金缴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  <w:t>交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</w:rPr>
        <w:t>转定流程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  <w:tab/>
        <w:t>5</w:t>
      </w:r>
    </w:p>
    <w:p>
      <w:pPr>
        <w:keepNext w:val="0"/>
        <w:keepLines w:val="0"/>
        <w:pageBreakBefore w:val="0"/>
        <w:widowControl w:val="0"/>
        <w:tabs>
          <w:tab w:val="left" w:leader="middleDot" w:pos="7350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142"/>
        <w:jc w:val="both"/>
        <w:textAlignment w:val="auto"/>
        <w:rPr>
          <w:rFonts w:hint="eastAsia" w:ascii="Times New Roman" w:hAnsi="Times New Roman" w:eastAsia="黑体" w:cs="黑体"/>
          <w:b w:val="0"/>
          <w:bCs w:val="0"/>
          <w:sz w:val="32"/>
          <w:szCs w:val="32"/>
          <w:lang w:eastAsia="zh-CN"/>
        </w:rPr>
      </w:pPr>
    </w:p>
    <w:p>
      <w:pPr>
        <w:ind w:left="141"/>
        <w:jc w:val="center"/>
        <w:rPr>
          <w:rFonts w:hint="eastAsia" w:ascii="Times New Roman" w:hAnsi="Times New Roman" w:eastAsia="方正小标宋简体" w:cs="方正小标宋简体"/>
          <w:sz w:val="44"/>
          <w:szCs w:val="44"/>
          <w:lang w:eastAsia="zh-CN"/>
        </w:rPr>
      </w:pPr>
    </w:p>
    <w:p>
      <w:pPr>
        <w:ind w:left="141"/>
        <w:jc w:val="center"/>
        <w:rPr>
          <w:rFonts w:hint="eastAsia" w:ascii="Times New Roman" w:hAnsi="Times New Roman" w:eastAsia="方正小标宋简体" w:cs="方正小标宋简体"/>
          <w:sz w:val="44"/>
          <w:szCs w:val="44"/>
          <w:lang w:eastAsia="zh-CN"/>
        </w:rPr>
      </w:pPr>
    </w:p>
    <w:p>
      <w:pPr>
        <w:ind w:left="141"/>
        <w:jc w:val="center"/>
        <w:rPr>
          <w:rFonts w:hint="eastAsia" w:ascii="Times New Roman" w:hAnsi="Times New Roman" w:eastAsia="方正小标宋简体" w:cs="方正小标宋简体"/>
          <w:sz w:val="44"/>
          <w:szCs w:val="44"/>
          <w:lang w:eastAsia="zh-CN"/>
        </w:rPr>
      </w:pPr>
    </w:p>
    <w:p>
      <w:pPr>
        <w:ind w:left="141"/>
        <w:jc w:val="center"/>
        <w:rPr>
          <w:rFonts w:hint="eastAsia" w:ascii="Times New Roman" w:hAnsi="Times New Roman" w:eastAsia="方正小标宋简体" w:cs="方正小标宋简体"/>
          <w:sz w:val="44"/>
          <w:szCs w:val="44"/>
          <w:lang w:eastAsia="zh-CN"/>
        </w:rPr>
      </w:pPr>
    </w:p>
    <w:p>
      <w:pPr>
        <w:ind w:left="141"/>
        <w:jc w:val="center"/>
        <w:rPr>
          <w:rFonts w:hint="eastAsia" w:ascii="Times New Roman" w:hAnsi="Times New Roman" w:eastAsia="方正小标宋简体" w:cs="方正小标宋简体"/>
          <w:sz w:val="44"/>
          <w:szCs w:val="44"/>
          <w:lang w:eastAsia="zh-CN"/>
        </w:rPr>
      </w:pPr>
    </w:p>
    <w:p>
      <w:pPr>
        <w:ind w:left="141"/>
        <w:jc w:val="center"/>
        <w:rPr>
          <w:rFonts w:hint="eastAsia" w:ascii="Times New Roman" w:hAnsi="Times New Roman" w:eastAsia="方正小标宋简体" w:cs="方正小标宋简体"/>
          <w:sz w:val="44"/>
          <w:szCs w:val="44"/>
          <w:lang w:eastAsia="zh-CN"/>
        </w:rPr>
      </w:pPr>
    </w:p>
    <w:p>
      <w:pPr>
        <w:ind w:left="141"/>
        <w:jc w:val="center"/>
        <w:rPr>
          <w:rFonts w:hint="eastAsia" w:ascii="Times New Roman" w:hAnsi="Times New Roman" w:eastAsia="方正小标宋简体" w:cs="方正小标宋简体"/>
          <w:sz w:val="44"/>
          <w:szCs w:val="44"/>
          <w:lang w:eastAsia="zh-CN"/>
        </w:rPr>
      </w:pPr>
    </w:p>
    <w:p>
      <w:pPr>
        <w:jc w:val="both"/>
        <w:rPr>
          <w:rFonts w:hint="eastAsia" w:ascii="Times New Roman" w:hAnsi="Times New Roman" w:eastAsia="方正小标宋简体" w:cs="方正小标宋简体"/>
          <w:sz w:val="44"/>
          <w:szCs w:val="44"/>
          <w:lang w:eastAsia="zh-CN"/>
        </w:rPr>
      </w:pPr>
    </w:p>
    <w:p>
      <w:pPr>
        <w:jc w:val="both"/>
        <w:rPr>
          <w:rFonts w:hint="eastAsia" w:ascii="Times New Roman" w:hAnsi="Times New Roman" w:eastAsia="方正小标宋简体" w:cs="方正小标宋简体"/>
          <w:sz w:val="44"/>
          <w:szCs w:val="44"/>
          <w:lang w:eastAsia="zh-CN"/>
        </w:rPr>
      </w:pPr>
    </w:p>
    <w:p>
      <w:pPr>
        <w:ind w:left="141"/>
        <w:jc w:val="center"/>
        <w:rPr>
          <w:rFonts w:hint="eastAsia" w:ascii="Times New Roman" w:hAnsi="Times New Roman" w:eastAsia="方正小标宋简体" w:cs="方正小标宋简体"/>
          <w:sz w:val="44"/>
          <w:szCs w:val="44"/>
          <w:lang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ind w:left="141"/>
        <w:jc w:val="center"/>
        <w:rPr>
          <w:rFonts w:hint="eastAsia" w:ascii="Times New Roman" w:hAnsi="Times New Roman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sz w:val="44"/>
          <w:szCs w:val="44"/>
          <w:lang w:eastAsia="zh-CN"/>
        </w:rPr>
        <w:t>交通银行</w:t>
      </w:r>
      <w:r>
        <w:rPr>
          <w:rFonts w:hint="eastAsia" w:ascii="Times New Roman" w:hAnsi="Times New Roman" w:eastAsia="方正小标宋简体" w:cs="方正小标宋简体"/>
          <w:b w:val="0"/>
          <w:bCs w:val="0"/>
          <w:sz w:val="44"/>
          <w:szCs w:val="44"/>
        </w:rPr>
        <w:t>认筹金缴</w:t>
      </w:r>
      <w:r>
        <w:rPr>
          <w:rFonts w:hint="eastAsia" w:ascii="Times New Roman" w:hAnsi="Times New Roman" w:eastAsia="方正小标宋简体" w:cs="方正小标宋简体"/>
          <w:b w:val="0"/>
          <w:bCs w:val="0"/>
          <w:sz w:val="44"/>
          <w:szCs w:val="44"/>
          <w:lang w:val="en-US" w:eastAsia="zh-CN"/>
        </w:rPr>
        <w:t>交</w:t>
      </w:r>
      <w:r>
        <w:rPr>
          <w:rFonts w:hint="eastAsia" w:ascii="Times New Roman" w:hAnsi="Times New Roman" w:eastAsia="方正小标宋简体" w:cs="方正小标宋简体"/>
          <w:b w:val="0"/>
          <w:bCs w:val="0"/>
          <w:sz w:val="44"/>
          <w:szCs w:val="44"/>
        </w:rPr>
        <w:t>转定流程</w:t>
      </w:r>
    </w:p>
    <w:p>
      <w:pPr>
        <w:ind w:left="141"/>
        <w:jc w:val="left"/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</w:rPr>
        <w:t>1.需在交通银行网点开立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eastAsia="zh-CN"/>
        </w:rPr>
        <w:t>银行储蓄卡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</w:rPr>
        <w:t>；</w:t>
      </w:r>
    </w:p>
    <w:p>
      <w:pPr>
        <w:ind w:left="141"/>
        <w:jc w:val="left"/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</w:rPr>
        <w:t>2.扫描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eastAsia="zh-CN"/>
        </w:rPr>
        <w:t>下方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</w:rPr>
        <w:t>二维码（可通过微信、支付宝及浏览器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eastAsia="zh-CN"/>
        </w:rPr>
        <w:t>等平台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</w:rPr>
        <w:t>打开）；</w:t>
      </w:r>
    </w:p>
    <w:p>
      <w:pPr>
        <w:ind w:left="141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hint="eastAsia" w:ascii="Times New Roman" w:hAnsi="Times New Roman"/>
          <w:b/>
          <w:bCs/>
          <w:sz w:val="28"/>
          <w:szCs w:val="28"/>
        </w:rPr>
        <w:drawing>
          <wp:inline distT="0" distB="0" distL="0" distR="0">
            <wp:extent cx="1835785" cy="1835785"/>
            <wp:effectExtent l="0" t="0" r="8255" b="8255"/>
            <wp:docPr id="5" name="图片 5" descr="C:\Users\Administrator\Desktop\交行二维码.png交行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:\Users\Administrator\Desktop\交行二维码.png交行二维码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35785" cy="1835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left="141"/>
        <w:jc w:val="left"/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</w:rPr>
        <w:t>3.进入保证金楼盘圈存页面，查看楼盘信息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</w:rPr>
        <w:t>无需下载APP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eastAsia="zh-CN"/>
        </w:rPr>
        <w:t>，勾选“揽月小区”项目，点击下一步；</w:t>
      </w:r>
    </w:p>
    <w:p>
      <w:pPr>
        <w:ind w:left="141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</w:rPr>
        <w:drawing>
          <wp:inline distT="0" distB="0" distL="0" distR="0">
            <wp:extent cx="2339340" cy="3473450"/>
            <wp:effectExtent l="0" t="0" r="3810" b="12700"/>
            <wp:docPr id="1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4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39340" cy="3473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left="141"/>
        <w:jc w:val="left"/>
        <w:rPr>
          <w:rFonts w:ascii="Times New Roman" w:hAnsi="Times New Roman"/>
        </w:rPr>
      </w:pPr>
    </w:p>
    <w:p>
      <w:pPr>
        <w:numPr>
          <w:ilvl w:val="0"/>
          <w:numId w:val="0"/>
        </w:numPr>
        <w:jc w:val="left"/>
        <w:rPr>
          <w:rFonts w:ascii="Times New Roman" w:hAnsi="Times New Roman"/>
          <w:b/>
          <w:bCs/>
          <w:sz w:val="28"/>
          <w:szCs w:val="28"/>
        </w:rPr>
      </w:pP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  <w:t>4、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</w:rPr>
        <w:t>填入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eastAsia="zh-CN"/>
        </w:rPr>
        <w:t>个人身份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</w:rPr>
        <w:t>信息及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eastAsia="zh-CN"/>
        </w:rPr>
        <w:t>手机号，点击下一步；</w:t>
      </w:r>
    </w:p>
    <w:p>
      <w:pPr>
        <w:pStyle w:val="6"/>
        <w:ind w:left="360" w:firstLine="0" w:firstLineChars="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drawing>
          <wp:inline distT="0" distB="0" distL="114300" distR="114300">
            <wp:extent cx="2115820" cy="2912745"/>
            <wp:effectExtent l="0" t="0" r="2540" b="13335"/>
            <wp:docPr id="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15820" cy="2912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6"/>
        <w:numPr>
          <w:ilvl w:val="0"/>
          <w:numId w:val="0"/>
        </w:numPr>
        <w:ind w:left="420" w:leftChars="0"/>
        <w:jc w:val="left"/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  <w:t>5.核对个人身份信息、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</w:rPr>
        <w:t>银行卡号、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eastAsia="zh-CN"/>
        </w:rPr>
        <w:t>楼盘名称及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</w:rPr>
        <w:t>圈存金额，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eastAsia="zh-CN"/>
        </w:rPr>
        <w:t>勾选“我已阅读并同意”，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</w:rPr>
        <w:t>点击“立即报名”完成圈存；</w:t>
      </w:r>
    </w:p>
    <w:p>
      <w:pPr>
        <w:pStyle w:val="6"/>
        <w:ind w:left="360" w:firstLine="0" w:firstLineChars="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drawing>
          <wp:inline distT="0" distB="0" distL="0" distR="0">
            <wp:extent cx="2028190" cy="2983230"/>
            <wp:effectExtent l="0" t="0" r="10160" b="7620"/>
            <wp:docPr id="2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4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8190" cy="29832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6"/>
        <w:numPr>
          <w:ilvl w:val="0"/>
          <w:numId w:val="0"/>
        </w:numPr>
        <w:ind w:leftChars="200"/>
        <w:jc w:val="left"/>
        <w:rPr>
          <w:rFonts w:hint="eastAsia" w:ascii="Times New Roman" w:hAnsi="Times New Roman" w:eastAsia="仿宋_GB2312" w:cs="仿宋_GB2312"/>
          <w:b w:val="0"/>
          <w:bCs/>
          <w:sz w:val="32"/>
          <w:szCs w:val="32"/>
        </w:rPr>
      </w:pPr>
      <w:r>
        <w:rPr>
          <w:rFonts w:hint="eastAsia" w:ascii="Times New Roman" w:hAnsi="Times New Roman" w:eastAsia="仿宋_GB2312" w:cs="仿宋_GB2312"/>
          <w:b w:val="0"/>
          <w:bCs/>
          <w:sz w:val="32"/>
          <w:szCs w:val="32"/>
          <w:lang w:val="en-US" w:eastAsia="zh-CN"/>
        </w:rPr>
        <w:t>6.</w:t>
      </w:r>
      <w:r>
        <w:rPr>
          <w:rFonts w:hint="eastAsia" w:ascii="Times New Roman" w:hAnsi="Times New Roman" w:eastAsia="仿宋_GB2312" w:cs="仿宋_GB2312"/>
          <w:b w:val="0"/>
          <w:bCs/>
          <w:sz w:val="32"/>
          <w:szCs w:val="32"/>
        </w:rPr>
        <w:t>摇号</w:t>
      </w:r>
      <w:r>
        <w:rPr>
          <w:rFonts w:hint="eastAsia" w:ascii="Times New Roman" w:hAnsi="Times New Roman" w:eastAsia="仿宋_GB2312" w:cs="仿宋_GB2312"/>
          <w:b w:val="0"/>
          <w:bCs/>
          <w:sz w:val="32"/>
          <w:szCs w:val="32"/>
          <w:lang w:eastAsia="zh-CN"/>
        </w:rPr>
        <w:t>结束</w:t>
      </w:r>
      <w:r>
        <w:rPr>
          <w:rFonts w:hint="eastAsia" w:ascii="Times New Roman" w:hAnsi="Times New Roman" w:eastAsia="仿宋_GB2312" w:cs="仿宋_GB2312"/>
          <w:b w:val="0"/>
          <w:bCs/>
          <w:sz w:val="32"/>
          <w:szCs w:val="32"/>
        </w:rPr>
        <w:t>并签订相关协议后,</w:t>
      </w:r>
      <w:r>
        <w:rPr>
          <w:rFonts w:hint="eastAsia" w:ascii="Times New Roman" w:hAnsi="Times New Roman" w:eastAsia="仿宋_GB2312" w:cs="仿宋_GB2312"/>
          <w:b w:val="0"/>
          <w:bCs/>
          <w:sz w:val="32"/>
          <w:szCs w:val="32"/>
          <w:lang w:eastAsia="zh-CN"/>
        </w:rPr>
        <w:t>保证金</w:t>
      </w:r>
      <w:r>
        <w:rPr>
          <w:rFonts w:hint="eastAsia" w:ascii="Times New Roman" w:hAnsi="Times New Roman" w:eastAsia="仿宋_GB2312" w:cs="仿宋_GB2312"/>
          <w:b w:val="0"/>
          <w:bCs/>
          <w:sz w:val="32"/>
          <w:szCs w:val="32"/>
        </w:rPr>
        <w:t>将自动转为定金。</w:t>
      </w:r>
    </w:p>
    <w:p>
      <w:pPr>
        <w:rPr>
          <w:rFonts w:hint="eastAsia" w:ascii="Times New Roman" w:hAnsi="Times New Roman" w:eastAsia="方正小标宋简体" w:cs="方正小标宋简体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简体" w:cs="方正小标宋简体"/>
          <w:sz w:val="44"/>
          <w:szCs w:val="44"/>
          <w:lang w:eastAsia="zh-CN"/>
        </w:rPr>
        <w:br w:type="page"/>
      </w:r>
    </w:p>
    <w:p>
      <w:pPr>
        <w:ind w:left="141"/>
        <w:jc w:val="center"/>
        <w:rPr>
          <w:rFonts w:hint="eastAsia" w:ascii="Times New Roman" w:hAnsi="Times New Roman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sz w:val="44"/>
          <w:szCs w:val="44"/>
          <w:lang w:eastAsia="zh-CN"/>
        </w:rPr>
        <w:t>中国农业银行</w:t>
      </w:r>
      <w:r>
        <w:rPr>
          <w:rFonts w:hint="eastAsia" w:ascii="Times New Roman" w:hAnsi="Times New Roman" w:eastAsia="方正小标宋简体" w:cs="方正小标宋简体"/>
          <w:b w:val="0"/>
          <w:bCs w:val="0"/>
          <w:sz w:val="44"/>
          <w:szCs w:val="44"/>
        </w:rPr>
        <w:t>认筹金缴</w:t>
      </w:r>
      <w:r>
        <w:rPr>
          <w:rFonts w:hint="eastAsia" w:ascii="Times New Roman" w:hAnsi="Times New Roman" w:eastAsia="方正小标宋简体" w:cs="方正小标宋简体"/>
          <w:b w:val="0"/>
          <w:bCs w:val="0"/>
          <w:sz w:val="44"/>
          <w:szCs w:val="44"/>
          <w:lang w:val="en-US" w:eastAsia="zh-CN"/>
        </w:rPr>
        <w:t>交</w:t>
      </w:r>
      <w:r>
        <w:rPr>
          <w:rFonts w:hint="eastAsia" w:ascii="Times New Roman" w:hAnsi="Times New Roman" w:eastAsia="方正小标宋简体" w:cs="方正小标宋简体"/>
          <w:b w:val="0"/>
          <w:bCs w:val="0"/>
          <w:sz w:val="44"/>
          <w:szCs w:val="44"/>
        </w:rPr>
        <w:t>转定流程</w:t>
      </w:r>
    </w:p>
    <w:p>
      <w:pPr>
        <w:tabs>
          <w:tab w:val="left" w:pos="724"/>
        </w:tabs>
        <w:bidi w:val="0"/>
        <w:jc w:val="both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1.打开微信扫一扫二维码，跳转至农行购房保证金系统。</w:t>
      </w:r>
    </w:p>
    <w:p>
      <w:pPr>
        <w:bidi w:val="0"/>
        <w:rPr>
          <w:rFonts w:hint="eastAsia" w:ascii="Times New Roman" w:hAnsi="Times New Roman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1574800</wp:posOffset>
            </wp:positionH>
            <wp:positionV relativeFrom="paragraph">
              <wp:posOffset>19685</wp:posOffset>
            </wp:positionV>
            <wp:extent cx="1939290" cy="1861185"/>
            <wp:effectExtent l="0" t="0" r="3810" b="5715"/>
            <wp:wrapTight wrapText="bothSides">
              <wp:wrapPolygon>
                <wp:start x="0" y="0"/>
                <wp:lineTo x="0" y="21445"/>
                <wp:lineTo x="21430" y="21445"/>
                <wp:lineTo x="21430" y="0"/>
                <wp:lineTo x="0" y="0"/>
              </wp:wrapPolygon>
            </wp:wrapTight>
            <wp:docPr id="2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939290" cy="1861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bidi w:val="0"/>
        <w:rPr>
          <w:rFonts w:hint="eastAsia" w:ascii="Times New Roman" w:hAnsi="Times New Roman"/>
          <w:lang w:val="en-US" w:eastAsia="zh-CN"/>
        </w:rPr>
      </w:pPr>
    </w:p>
    <w:p>
      <w:pPr>
        <w:bidi w:val="0"/>
        <w:rPr>
          <w:rFonts w:hint="eastAsia" w:ascii="Times New Roman" w:hAnsi="Times New Roman"/>
          <w:lang w:val="en-US" w:eastAsia="zh-CN"/>
        </w:rPr>
      </w:pPr>
    </w:p>
    <w:p>
      <w:pPr>
        <w:bidi w:val="0"/>
        <w:rPr>
          <w:rFonts w:hint="eastAsia" w:ascii="Times New Roman" w:hAnsi="Times New Roman"/>
          <w:lang w:val="en-US" w:eastAsia="zh-CN"/>
        </w:rPr>
      </w:pPr>
    </w:p>
    <w:p>
      <w:pPr>
        <w:bidi w:val="0"/>
        <w:rPr>
          <w:rFonts w:hint="eastAsia" w:ascii="Times New Roman" w:hAnsi="Times New Roman"/>
          <w:lang w:val="en-US" w:eastAsia="zh-CN"/>
        </w:rPr>
      </w:pPr>
    </w:p>
    <w:p>
      <w:pPr>
        <w:bidi w:val="0"/>
        <w:rPr>
          <w:rFonts w:hint="eastAsia" w:ascii="Times New Roman" w:hAnsi="Times New Roman"/>
          <w:lang w:val="en-US" w:eastAsia="zh-CN"/>
        </w:rPr>
      </w:pPr>
    </w:p>
    <w:p>
      <w:pPr>
        <w:bidi w:val="0"/>
        <w:rPr>
          <w:rFonts w:hint="eastAsia" w:ascii="Times New Roman" w:hAnsi="Times New Roman"/>
          <w:lang w:val="en-US" w:eastAsia="zh-CN"/>
        </w:rPr>
      </w:pPr>
    </w:p>
    <w:p>
      <w:pPr>
        <w:bidi w:val="0"/>
        <w:rPr>
          <w:rFonts w:hint="eastAsia" w:ascii="Times New Roman" w:hAnsi="Times New Roman"/>
          <w:lang w:val="en-US" w:eastAsia="zh-CN"/>
        </w:rPr>
      </w:pPr>
    </w:p>
    <w:p>
      <w:pPr>
        <w:bidi w:val="0"/>
        <w:rPr>
          <w:rFonts w:hint="eastAsia" w:ascii="Times New Roman" w:hAnsi="Times New Roman"/>
          <w:lang w:val="en-US" w:eastAsia="zh-CN"/>
        </w:rPr>
      </w:pPr>
    </w:p>
    <w:p>
      <w:pPr>
        <w:tabs>
          <w:tab w:val="left" w:pos="6645"/>
        </w:tabs>
        <w:bidi w:val="0"/>
        <w:jc w:val="left"/>
        <w:rPr>
          <w:rFonts w:hint="eastAsia" w:ascii="Times New Roman" w:hAnsi="Times New Roman"/>
          <w:lang w:val="en-US" w:eastAsia="zh-CN"/>
        </w:rPr>
      </w:pPr>
      <w:r>
        <w:rPr>
          <w:rFonts w:hint="eastAsia" w:ascii="Times New Roman" w:hAnsi="Times New Roman"/>
          <w:lang w:val="en-US" w:eastAsia="zh-CN"/>
        </w:rPr>
        <w:tab/>
      </w:r>
    </w:p>
    <w:p>
      <w:pPr>
        <w:numPr>
          <w:ilvl w:val="0"/>
          <w:numId w:val="0"/>
        </w:numPr>
        <w:tabs>
          <w:tab w:val="left" w:pos="6645"/>
        </w:tabs>
        <w:bidi w:val="0"/>
        <w:jc w:val="both"/>
        <w:rPr>
          <w:rFonts w:hint="eastAsia" w:ascii="Times New Roman" w:hAnsi="Times New Roman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2.进入系统后，输入正确的姓名、卡号，系统将向银行卡预留手机号码发送验证码，输入验证码后提交即可绑卡成功，任何资料填写错误均无法绑卡成功。若客户未办理省内农行卡，或预留手机号码与目前使用手机号码不一致，请就近农行网点办卡或变更。</w:t>
      </w:r>
    </w:p>
    <w:p>
      <w:pPr>
        <w:bidi w:val="0"/>
        <w:rPr>
          <w:rFonts w:hint="eastAsia" w:ascii="Times New Roman" w:hAnsi="Times New Roman"/>
          <w:lang w:val="en-US" w:eastAsia="zh-CN"/>
        </w:rPr>
      </w:pPr>
      <w:r>
        <w:rPr>
          <w:rFonts w:ascii="Times New Roman" w:hAnsi="Times New Roma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406400</wp:posOffset>
            </wp:positionH>
            <wp:positionV relativeFrom="paragraph">
              <wp:posOffset>156210</wp:posOffset>
            </wp:positionV>
            <wp:extent cx="2042795" cy="2997200"/>
            <wp:effectExtent l="0" t="0" r="14605" b="12700"/>
            <wp:wrapSquare wrapText="bothSides"/>
            <wp:docPr id="2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042795" cy="299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bidi w:val="0"/>
        <w:rPr>
          <w:rFonts w:hint="eastAsia" w:ascii="Times New Roman" w:hAnsi="Times New Roman"/>
          <w:lang w:val="en-US" w:eastAsia="zh-CN"/>
        </w:rPr>
      </w:pPr>
      <w:r>
        <w:rPr>
          <w:rFonts w:ascii="Times New Roman" w:hAnsi="Times New Roma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3048635</wp:posOffset>
            </wp:positionH>
            <wp:positionV relativeFrom="paragraph">
              <wp:posOffset>6350</wp:posOffset>
            </wp:positionV>
            <wp:extent cx="1925955" cy="2042160"/>
            <wp:effectExtent l="0" t="0" r="17145" b="15240"/>
            <wp:wrapSquare wrapText="bothSides"/>
            <wp:docPr id="2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925955" cy="2042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bidi w:val="0"/>
        <w:rPr>
          <w:rFonts w:hint="eastAsia" w:ascii="Times New Roman" w:hAnsi="Times New Roman"/>
          <w:lang w:val="en-US" w:eastAsia="zh-CN"/>
        </w:rPr>
      </w:pPr>
    </w:p>
    <w:p>
      <w:pPr>
        <w:bidi w:val="0"/>
        <w:rPr>
          <w:rFonts w:hint="eastAsia" w:ascii="Times New Roman" w:hAnsi="Times New Roman"/>
          <w:lang w:val="en-US" w:eastAsia="zh-CN"/>
        </w:rPr>
      </w:pPr>
    </w:p>
    <w:p>
      <w:pPr>
        <w:numPr>
          <w:ilvl w:val="0"/>
          <w:numId w:val="0"/>
        </w:numPr>
        <w:bidi w:val="0"/>
        <w:ind w:leftChars="0"/>
        <w:jc w:val="left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bidi w:val="0"/>
        <w:ind w:leftChars="0"/>
        <w:jc w:val="left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bidi w:val="0"/>
        <w:ind w:leftChars="0"/>
        <w:jc w:val="left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bidi w:val="0"/>
        <w:ind w:leftChars="0"/>
        <w:jc w:val="left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bidi w:val="0"/>
        <w:ind w:leftChars="0"/>
        <w:jc w:val="left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bidi w:val="0"/>
        <w:ind w:leftChars="0"/>
        <w:jc w:val="left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bidi w:val="0"/>
        <w:ind w:leftChars="0"/>
        <w:jc w:val="left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3.绑卡成功后跳转至保证金页面。选择保证金申请，填写认筹人信息：姓名、身份证号码、手机号（与申购信息表手机号一致），确认信息后阅读相关协议条款，勾选同意后提交申请。（仅允许本人办理保证金申请）。</w:t>
      </w:r>
    </w:p>
    <w:p>
      <w:pPr>
        <w:numPr>
          <w:ilvl w:val="0"/>
          <w:numId w:val="0"/>
        </w:numPr>
        <w:bidi w:val="0"/>
        <w:ind w:leftChars="0"/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17780</wp:posOffset>
            </wp:positionH>
            <wp:positionV relativeFrom="paragraph">
              <wp:posOffset>2848610</wp:posOffset>
            </wp:positionV>
            <wp:extent cx="1941830" cy="2068830"/>
            <wp:effectExtent l="0" t="0" r="1270" b="7620"/>
            <wp:wrapSquare wrapText="bothSides"/>
            <wp:docPr id="25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9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941830" cy="2068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383540</wp:posOffset>
            </wp:positionV>
            <wp:extent cx="1883410" cy="2275205"/>
            <wp:effectExtent l="0" t="0" r="2540" b="10795"/>
            <wp:wrapSquare wrapText="bothSides"/>
            <wp:docPr id="2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883410" cy="2275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2059305</wp:posOffset>
            </wp:positionH>
            <wp:positionV relativeFrom="paragraph">
              <wp:posOffset>391160</wp:posOffset>
            </wp:positionV>
            <wp:extent cx="1796415" cy="2299335"/>
            <wp:effectExtent l="0" t="0" r="13335" b="5715"/>
            <wp:wrapSquare wrapText="bothSides"/>
            <wp:docPr id="2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796415" cy="2299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2030095</wp:posOffset>
            </wp:positionH>
            <wp:positionV relativeFrom="paragraph">
              <wp:posOffset>2856865</wp:posOffset>
            </wp:positionV>
            <wp:extent cx="2007870" cy="2073910"/>
            <wp:effectExtent l="0" t="0" r="11430" b="2540"/>
            <wp:wrapSquare wrapText="bothSides"/>
            <wp:docPr id="29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10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007870" cy="2073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bidi w:val="0"/>
        <w:rPr>
          <w:rFonts w:hint="eastAsia" w:ascii="Times New Roman" w:hAnsi="Times New Roman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ascii="Times New Roman" w:hAnsi="Times New Roman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54610</wp:posOffset>
            </wp:positionH>
            <wp:positionV relativeFrom="paragraph">
              <wp:posOffset>182880</wp:posOffset>
            </wp:positionV>
            <wp:extent cx="1863725" cy="2305050"/>
            <wp:effectExtent l="0" t="0" r="10795" b="11430"/>
            <wp:wrapSquare wrapText="bothSides"/>
            <wp:docPr id="2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8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863725" cy="230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bidi w:val="0"/>
        <w:rPr>
          <w:rFonts w:hint="eastAsia" w:ascii="Times New Roman" w:hAnsi="Times New Roman"/>
          <w:lang w:val="en-US" w:eastAsia="zh-CN"/>
        </w:rPr>
      </w:pPr>
    </w:p>
    <w:p>
      <w:pPr>
        <w:bidi w:val="0"/>
        <w:rPr>
          <w:rFonts w:hint="eastAsia" w:ascii="Times New Roman" w:hAnsi="Times New Roman"/>
          <w:lang w:val="en-US" w:eastAsia="zh-CN"/>
        </w:rPr>
      </w:pPr>
    </w:p>
    <w:p>
      <w:pPr>
        <w:bidi w:val="0"/>
        <w:rPr>
          <w:rFonts w:hint="eastAsia" w:ascii="Times New Roman" w:hAnsi="Times New Roman"/>
          <w:lang w:val="en-US" w:eastAsia="zh-CN"/>
        </w:rPr>
      </w:pPr>
    </w:p>
    <w:p>
      <w:pPr>
        <w:bidi w:val="0"/>
        <w:rPr>
          <w:rFonts w:hint="eastAsia" w:ascii="Times New Roman" w:hAnsi="Times New Roman"/>
          <w:lang w:val="en-US" w:eastAsia="zh-CN"/>
        </w:rPr>
      </w:pPr>
    </w:p>
    <w:p>
      <w:pPr>
        <w:bidi w:val="0"/>
        <w:rPr>
          <w:rFonts w:hint="eastAsia" w:ascii="Times New Roman" w:hAnsi="Times New Roman"/>
          <w:lang w:val="en-US" w:eastAsia="zh-CN"/>
        </w:rPr>
      </w:pPr>
    </w:p>
    <w:p>
      <w:pPr>
        <w:bidi w:val="0"/>
        <w:rPr>
          <w:rFonts w:hint="eastAsia" w:ascii="Times New Roman" w:hAnsi="Times New Roman"/>
          <w:lang w:val="en-US" w:eastAsia="zh-CN"/>
        </w:rPr>
      </w:pPr>
    </w:p>
    <w:p>
      <w:pPr>
        <w:bidi w:val="0"/>
        <w:rPr>
          <w:rFonts w:hint="eastAsia" w:ascii="Times New Roman" w:hAnsi="Times New Roman"/>
          <w:lang w:val="en-US" w:eastAsia="zh-CN"/>
        </w:rPr>
      </w:pPr>
    </w:p>
    <w:p>
      <w:pPr>
        <w:bidi w:val="0"/>
        <w:rPr>
          <w:rFonts w:hint="eastAsia" w:ascii="Times New Roman" w:hAnsi="Times New Roman"/>
          <w:lang w:val="en-US" w:eastAsia="zh-CN"/>
        </w:rPr>
      </w:pPr>
    </w:p>
    <w:p>
      <w:pPr>
        <w:bidi w:val="0"/>
        <w:rPr>
          <w:rFonts w:hint="eastAsia" w:ascii="Times New Roman" w:hAnsi="Times New Roman"/>
          <w:lang w:val="en-US" w:eastAsia="zh-CN"/>
        </w:rPr>
      </w:pPr>
    </w:p>
    <w:p>
      <w:pPr>
        <w:bidi w:val="0"/>
        <w:rPr>
          <w:rFonts w:hint="eastAsia" w:ascii="Times New Roman" w:hAnsi="Times New Roman"/>
          <w:lang w:val="en-US" w:eastAsia="zh-CN"/>
        </w:rPr>
      </w:pPr>
    </w:p>
    <w:p>
      <w:pPr>
        <w:bidi w:val="0"/>
        <w:rPr>
          <w:rFonts w:hint="eastAsia" w:ascii="Times New Roman" w:hAnsi="Times New Roman"/>
          <w:lang w:val="en-US" w:eastAsia="zh-CN"/>
        </w:rPr>
      </w:pPr>
    </w:p>
    <w:p>
      <w:pPr>
        <w:numPr>
          <w:numId w:val="0"/>
        </w:numPr>
        <w:bidi w:val="0"/>
        <w:ind w:leftChars="0"/>
        <w:jc w:val="left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ascii="Times New Roman" w:hAnsi="Times New Roman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260350</wp:posOffset>
            </wp:positionH>
            <wp:positionV relativeFrom="paragraph">
              <wp:posOffset>865505</wp:posOffset>
            </wp:positionV>
            <wp:extent cx="2035810" cy="2201545"/>
            <wp:effectExtent l="0" t="0" r="6350" b="8255"/>
            <wp:wrapSquare wrapText="bothSides"/>
            <wp:docPr id="3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2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035810" cy="2201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4.保证金查询：返回保证金主页面后，选择保证金查询，可查询本人申请的保证金。</w:t>
      </w:r>
    </w:p>
    <w:p>
      <w:pPr>
        <w:numPr>
          <w:ilvl w:val="0"/>
          <w:numId w:val="0"/>
        </w:numPr>
        <w:bidi w:val="0"/>
        <w:ind w:leftChars="0"/>
        <w:jc w:val="left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ascii="Times New Roman" w:hAnsi="Times New Roman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78740</wp:posOffset>
            </wp:positionH>
            <wp:positionV relativeFrom="paragraph">
              <wp:posOffset>88265</wp:posOffset>
            </wp:positionV>
            <wp:extent cx="1873250" cy="2209165"/>
            <wp:effectExtent l="0" t="0" r="1270" b="635"/>
            <wp:wrapSquare wrapText="bothSides"/>
            <wp:docPr id="3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873250" cy="2209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numPr>
          <w:ilvl w:val="0"/>
          <w:numId w:val="0"/>
        </w:numPr>
        <w:tabs>
          <w:tab w:val="left" w:pos="486"/>
        </w:tabs>
        <w:jc w:val="left"/>
        <w:rPr>
          <w:rFonts w:hint="eastAsia" w:ascii="Times New Roman" w:hAnsi="Times New Roman" w:eastAsia="方正小标宋简体" w:cs="方正小标宋简体"/>
          <w:sz w:val="44"/>
          <w:szCs w:val="44"/>
          <w:lang w:val="en-US" w:eastAsia="zh-CN"/>
        </w:rPr>
      </w:pPr>
      <w:bookmarkStart w:id="0" w:name="_GoBack"/>
      <w:bookmarkEnd w:id="0"/>
    </w:p>
    <w:p>
      <w:pPr>
        <w:numPr>
          <w:ilvl w:val="0"/>
          <w:numId w:val="0"/>
        </w:numPr>
        <w:jc w:val="both"/>
        <w:rPr>
          <w:rFonts w:hint="eastAsia" w:ascii="Times New Roman" w:hAnsi="Times New Roman" w:eastAsia="方正小标宋简体" w:cs="方正小标宋简体"/>
          <w:sz w:val="44"/>
          <w:szCs w:val="44"/>
          <w:lang w:val="en-US" w:eastAsia="zh-CN"/>
        </w:rPr>
      </w:pPr>
    </w:p>
    <w:p>
      <w:pPr>
        <w:rPr>
          <w:rFonts w:hint="eastAsia" w:ascii="Times New Roman" w:hAnsi="Times New Roman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方正小标宋简体"/>
          <w:sz w:val="44"/>
          <w:szCs w:val="44"/>
          <w:lang w:val="en-US" w:eastAsia="zh-CN"/>
        </w:rPr>
        <w:br w:type="page"/>
      </w:r>
    </w:p>
    <w:p>
      <w:pPr>
        <w:numPr>
          <w:ilvl w:val="0"/>
          <w:numId w:val="0"/>
        </w:numPr>
        <w:jc w:val="center"/>
        <w:rPr>
          <w:rFonts w:hint="eastAsia" w:ascii="Times New Roman" w:hAnsi="Times New Roman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方正小标宋简体"/>
          <w:sz w:val="44"/>
          <w:szCs w:val="44"/>
          <w:lang w:val="en-US" w:eastAsia="zh-CN"/>
        </w:rPr>
        <w:t>中国银行</w:t>
      </w:r>
      <w:r>
        <w:rPr>
          <w:rFonts w:hint="eastAsia" w:ascii="Times New Roman" w:hAnsi="Times New Roman" w:eastAsia="方正小标宋简体" w:cs="方正小标宋简体"/>
          <w:b w:val="0"/>
          <w:bCs w:val="0"/>
          <w:sz w:val="44"/>
          <w:szCs w:val="44"/>
        </w:rPr>
        <w:t>认筹金缴</w:t>
      </w:r>
      <w:r>
        <w:rPr>
          <w:rFonts w:hint="eastAsia" w:ascii="Times New Roman" w:hAnsi="Times New Roman" w:eastAsia="方正小标宋简体" w:cs="方正小标宋简体"/>
          <w:b w:val="0"/>
          <w:bCs w:val="0"/>
          <w:sz w:val="44"/>
          <w:szCs w:val="44"/>
          <w:lang w:val="en-US" w:eastAsia="zh-CN"/>
        </w:rPr>
        <w:t>交</w:t>
      </w:r>
      <w:r>
        <w:rPr>
          <w:rFonts w:hint="eastAsia" w:ascii="Times New Roman" w:hAnsi="Times New Roman" w:eastAsia="方正小标宋简体" w:cs="方正小标宋简体"/>
          <w:b w:val="0"/>
          <w:bCs w:val="0"/>
          <w:sz w:val="44"/>
          <w:szCs w:val="44"/>
        </w:rPr>
        <w:t>转定流程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1.中银保证金入口</w:t>
      </w:r>
    </w:p>
    <w:p>
      <w:pPr>
        <w:numPr>
          <w:ilvl w:val="0"/>
          <w:numId w:val="0"/>
        </w:numP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  <w:t>方法一</w:t>
      </w:r>
      <w:r>
        <w:rPr>
          <w:rFonts w:hint="eastAsia" w:ascii="Times New Roman" w:hAnsi="Times New Roman" w:eastAsia="黑体" w:cs="黑体"/>
          <w:sz w:val="44"/>
          <w:szCs w:val="44"/>
          <w:lang w:val="en-US" w:eastAsia="zh-CN"/>
        </w:rPr>
        <w:t>：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中国银行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手机银行APP扫描二维码</w:t>
      </w:r>
    </w:p>
    <w:p>
      <w:pPr>
        <w:numPr>
          <w:ilvl w:val="0"/>
          <w:numId w:val="0"/>
        </w:numPr>
        <w:jc w:val="center"/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</w:pPr>
      <w:r>
        <w:rPr>
          <w:rFonts w:ascii="Times New Roman" w:hAnsi="Times New Roman"/>
        </w:rPr>
        <w:drawing>
          <wp:inline distT="0" distB="0" distL="114300" distR="114300">
            <wp:extent cx="2565400" cy="2703195"/>
            <wp:effectExtent l="0" t="0" r="6350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565400" cy="2703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  <w:t>方法二：</w:t>
      </w:r>
    </w:p>
    <w:p>
      <w:pPr>
        <w:numPr>
          <w:ilvl w:val="0"/>
          <w:numId w:val="0"/>
        </w:numP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中国银行手机银行登录，找到“首页——更多——生活——中银保证金”</w:t>
      </w:r>
    </w:p>
    <w:p>
      <w:pPr>
        <w:numPr>
          <w:ilvl w:val="0"/>
          <w:numId w:val="0"/>
        </w:numPr>
        <w:jc w:val="center"/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</w:pPr>
      <w:r>
        <w:rPr>
          <w:rFonts w:ascii="Times New Roman" w:hAnsi="Times New Roman"/>
        </w:rPr>
        <w:drawing>
          <wp:inline distT="0" distB="0" distL="114300" distR="114300">
            <wp:extent cx="2399030" cy="2872740"/>
            <wp:effectExtent l="0" t="0" r="8890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399030" cy="2872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2.缴纳界面，业务类型选择“车房”，所在地区选择“福建 三明”，合作单位选择“三明市生态建设发展有限公司”，团组选择“沙县揽月小区”添加被保人信息，点击“下一步”</w:t>
      </w:r>
    </w:p>
    <w:p>
      <w:pPr>
        <w:numPr>
          <w:ilvl w:val="0"/>
          <w:numId w:val="0"/>
        </w:numP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drawing>
          <wp:inline distT="0" distB="0" distL="114300" distR="114300">
            <wp:extent cx="3300095" cy="3833495"/>
            <wp:effectExtent l="0" t="0" r="14605" b="1460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300095" cy="3833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drawing>
          <wp:inline distT="0" distB="0" distL="114300" distR="114300">
            <wp:extent cx="3258185" cy="2207260"/>
            <wp:effectExtent l="0" t="0" r="18415" b="254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258185" cy="2207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</w:pPr>
    </w:p>
    <w:p>
      <w:pPr>
        <w:numPr>
          <w:numId w:val="0"/>
        </w:numP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3.按业务流程进行后续操作，确认信息，选择资金冻结卡号，点击“确认”，资金冻结成功。</w:t>
      </w:r>
    </w:p>
    <w:p>
      <w:pPr>
        <w:numPr>
          <w:ilvl w:val="0"/>
          <w:numId w:val="0"/>
        </w:numP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drawing>
          <wp:inline distT="0" distB="0" distL="114300" distR="114300">
            <wp:extent cx="2586355" cy="2877820"/>
            <wp:effectExtent l="0" t="0" r="4445" b="254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586355" cy="2877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drawing>
          <wp:inline distT="0" distB="0" distL="114300" distR="114300">
            <wp:extent cx="2623820" cy="730885"/>
            <wp:effectExtent l="0" t="0" r="12700" b="63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623820" cy="730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ascii="Times New Roman" w:hAnsi="Times New Roman"/>
        </w:rPr>
      </w:pPr>
    </w:p>
    <w:p>
      <w:pPr>
        <w:numPr>
          <w:ilvl w:val="0"/>
          <w:numId w:val="0"/>
        </w:numPr>
        <w:rPr>
          <w:rFonts w:ascii="Times New Roman" w:hAnsi="Times New Roman"/>
        </w:rPr>
      </w:pPr>
    </w:p>
    <w:p>
      <w:pPr>
        <w:numPr>
          <w:ilvl w:val="0"/>
          <w:numId w:val="0"/>
        </w:numPr>
        <w:rPr>
          <w:rFonts w:ascii="Times New Roman" w:hAnsi="Times New Roman"/>
        </w:rPr>
      </w:pPr>
    </w:p>
    <w:p>
      <w:pPr>
        <w:numPr>
          <w:ilvl w:val="0"/>
          <w:numId w:val="0"/>
        </w:numPr>
        <w:rPr>
          <w:rFonts w:ascii="Times New Roman" w:hAnsi="Times New Roman"/>
        </w:rPr>
      </w:pPr>
    </w:p>
    <w:p>
      <w:pPr>
        <w:numPr>
          <w:ilvl w:val="0"/>
          <w:numId w:val="0"/>
        </w:numPr>
        <w:rPr>
          <w:rFonts w:ascii="Times New Roman" w:hAnsi="Times New Roman"/>
        </w:rPr>
      </w:pPr>
    </w:p>
    <w:p>
      <w:pPr>
        <w:numPr>
          <w:ilvl w:val="0"/>
          <w:numId w:val="0"/>
        </w:numPr>
        <w:rPr>
          <w:rFonts w:ascii="Times New Roman" w:hAnsi="Times New Roman"/>
        </w:rPr>
      </w:pPr>
    </w:p>
    <w:p>
      <w:pPr>
        <w:numPr>
          <w:ilvl w:val="0"/>
          <w:numId w:val="0"/>
        </w:numPr>
        <w:rPr>
          <w:rFonts w:ascii="Times New Roman" w:hAnsi="Times New Roman"/>
        </w:rPr>
      </w:pPr>
    </w:p>
    <w:p>
      <w:pPr>
        <w:numPr>
          <w:ilvl w:val="0"/>
          <w:numId w:val="0"/>
        </w:numPr>
        <w:rPr>
          <w:rFonts w:ascii="Times New Roman" w:hAnsi="Times New Roman"/>
        </w:rPr>
      </w:pPr>
    </w:p>
    <w:p>
      <w:pPr>
        <w:numPr>
          <w:ilvl w:val="0"/>
          <w:numId w:val="0"/>
        </w:numPr>
        <w:rPr>
          <w:rFonts w:ascii="Times New Roman" w:hAnsi="Times New Roman"/>
        </w:rPr>
      </w:pPr>
    </w:p>
    <w:p>
      <w:pPr>
        <w:numPr>
          <w:ilvl w:val="0"/>
          <w:numId w:val="0"/>
        </w:numPr>
        <w:rPr>
          <w:rFonts w:ascii="Times New Roman" w:hAnsi="Times New Roman"/>
        </w:rPr>
      </w:pPr>
    </w:p>
    <w:p>
      <w:pPr>
        <w:numPr>
          <w:ilvl w:val="0"/>
          <w:numId w:val="0"/>
        </w:numPr>
        <w:rPr>
          <w:rFonts w:ascii="Times New Roman" w:hAnsi="Times New Roman"/>
        </w:rPr>
      </w:pPr>
    </w:p>
    <w:p>
      <w:pPr>
        <w:tabs>
          <w:tab w:val="left" w:pos="724"/>
        </w:tabs>
        <w:bidi w:val="0"/>
        <w:jc w:val="left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</w:p>
    <w:sectPr>
      <w:footerReference r:id="rId4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left" w:pos="5258"/>
        <w:tab w:val="clear" w:pos="4153"/>
      </w:tabs>
      <w:rPr>
        <w:rFonts w:hint="eastAsia" w:eastAsiaTheme="minorEastAsia"/>
        <w:lang w:eastAsia="zh-CN"/>
      </w:rPr>
    </w:pPr>
    <w:r>
      <w:rPr>
        <w:rFonts w:hint="eastAsia"/>
        <w:lang w:eastAsia="zh-CN"/>
      </w:rP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left" w:pos="5258"/>
        <w:tab w:val="clear" w:pos="4153"/>
      </w:tabs>
      <w:rPr>
        <w:rFonts w:hint="eastAsia" w:eastAsiaTheme="minorEastAsia"/>
        <w:lang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19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9B3082"/>
    <w:rsid w:val="0455237F"/>
    <w:rsid w:val="0B625E3B"/>
    <w:rsid w:val="0E891C13"/>
    <w:rsid w:val="105C7AD3"/>
    <w:rsid w:val="10712F49"/>
    <w:rsid w:val="13086650"/>
    <w:rsid w:val="16072154"/>
    <w:rsid w:val="1BF07E2B"/>
    <w:rsid w:val="239B3082"/>
    <w:rsid w:val="2AB729DE"/>
    <w:rsid w:val="304E1183"/>
    <w:rsid w:val="36712C55"/>
    <w:rsid w:val="42AB0C22"/>
    <w:rsid w:val="44E30CD7"/>
    <w:rsid w:val="4623261F"/>
    <w:rsid w:val="4876582E"/>
    <w:rsid w:val="4E8255B2"/>
    <w:rsid w:val="50CD020F"/>
    <w:rsid w:val="51234079"/>
    <w:rsid w:val="538928BA"/>
    <w:rsid w:val="544B5DC1"/>
    <w:rsid w:val="55945DC8"/>
    <w:rsid w:val="61730705"/>
    <w:rsid w:val="63894210"/>
    <w:rsid w:val="63A71009"/>
    <w:rsid w:val="64CF42F7"/>
    <w:rsid w:val="66E74688"/>
    <w:rsid w:val="6DD62748"/>
    <w:rsid w:val="739B3B7C"/>
    <w:rsid w:val="79E65AC0"/>
    <w:rsid w:val="7A862E00"/>
    <w:rsid w:val="7F5A7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7" Type="http://schemas.openxmlformats.org/officeDocument/2006/relationships/fontTable" Target="fontTable.xml"/><Relationship Id="rId26" Type="http://schemas.openxmlformats.org/officeDocument/2006/relationships/customXml" Target="../customXml/item1.xml"/><Relationship Id="rId25" Type="http://schemas.openxmlformats.org/officeDocument/2006/relationships/image" Target="media/image20.png"/><Relationship Id="rId24" Type="http://schemas.openxmlformats.org/officeDocument/2006/relationships/image" Target="media/image19.png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2021-11-26T02:06:00Z</dcterms:created>
  <dc:creator>Administrator</dc:creator>
  <cp:lastModifiedBy>k.</cp:lastModifiedBy>
  <dcterms:modified xsi:type="dcterms:W3CDTF">2021-12-08T02:27:18Z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0277BAA3DF254E18842772D3653BE3DE</vt:lpwstr>
  </property>
</Properties>
</file>